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0F8C" w14:textId="77777777" w:rsidR="00835B06" w:rsidRPr="00835B06" w:rsidRDefault="00835B06" w:rsidP="00835B06">
      <w:pPr>
        <w:spacing w:after="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b/>
          <w:bCs/>
          <w:spacing w:val="2"/>
          <w:sz w:val="36"/>
          <w:szCs w:val="36"/>
          <w:lang w:eastAsia="es-CO"/>
        </w:rPr>
        <w:t>CONCEPTO 100208221-629 DE 2020</w:t>
      </w:r>
    </w:p>
    <w:p w14:paraId="730D6DFC"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(junio 2)</w:t>
      </w:r>
    </w:p>
    <w:p w14:paraId="65414DC3"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Diario Oficial No. 51.335 de 4 de junio de 2020</w:t>
      </w:r>
    </w:p>
    <w:p w14:paraId="15511D5D"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DIRECCIÓN DE IMPUESTOS Y ADUANAS NACIONALES</w:t>
      </w:r>
    </w:p>
    <w:p w14:paraId="63E0455C" w14:textId="66FEE4C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Subdirección</w:t>
      </w:r>
      <w:r w:rsidRPr="00835B06">
        <w:rPr>
          <w:rFonts w:ascii="Roboto Condensed" w:eastAsia="Times New Roman" w:hAnsi="Roboto Condensed" w:cs="Times New Roman"/>
          <w:spacing w:val="2"/>
          <w:sz w:val="27"/>
          <w:szCs w:val="27"/>
          <w:lang w:eastAsia="es-CO"/>
        </w:rPr>
        <w:t xml:space="preserve"> de Gestión Normativa y Doctrina</w:t>
      </w:r>
    </w:p>
    <w:p w14:paraId="2DD1CCB0" w14:textId="77777777"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100208221-629</w:t>
      </w:r>
    </w:p>
    <w:p w14:paraId="64A655D9" w14:textId="77777777"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Bogotá, D. C., 02/06/2020</w:t>
      </w:r>
    </w:p>
    <w:p w14:paraId="5C3864D6" w14:textId="77777777"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Señores CONTRIBUYENTES Y USUARIOS ADUANEROS</w:t>
      </w:r>
    </w:p>
    <w:tbl>
      <w:tblPr>
        <w:tblW w:w="5050" w:type="pct"/>
        <w:tblCellSpacing w:w="15" w:type="dxa"/>
        <w:tblCellMar>
          <w:top w:w="15" w:type="dxa"/>
          <w:left w:w="15" w:type="dxa"/>
          <w:bottom w:w="15" w:type="dxa"/>
          <w:right w:w="15" w:type="dxa"/>
        </w:tblCellMar>
        <w:tblLook w:val="04A0" w:firstRow="1" w:lastRow="0" w:firstColumn="1" w:lastColumn="0" w:noHBand="0" w:noVBand="1"/>
      </w:tblPr>
      <w:tblGrid>
        <w:gridCol w:w="2104"/>
        <w:gridCol w:w="7346"/>
      </w:tblGrid>
      <w:tr w:rsidR="00835B06" w:rsidRPr="00835B06" w14:paraId="03A43E9C" w14:textId="77777777" w:rsidTr="00835B06">
        <w:trPr>
          <w:tblCellSpacing w:w="15" w:type="dxa"/>
        </w:trPr>
        <w:tc>
          <w:tcPr>
            <w:tcW w:w="1100" w:type="pct"/>
            <w:tcBorders>
              <w:top w:val="nil"/>
              <w:left w:val="nil"/>
              <w:bottom w:val="nil"/>
              <w:right w:val="nil"/>
            </w:tcBorders>
            <w:tcMar>
              <w:top w:w="0" w:type="dxa"/>
              <w:left w:w="0" w:type="dxa"/>
              <w:bottom w:w="0" w:type="dxa"/>
              <w:right w:w="0" w:type="dxa"/>
            </w:tcMar>
            <w:hideMark/>
          </w:tcPr>
          <w:p w14:paraId="7A813B02" w14:textId="77777777" w:rsidR="00835B06" w:rsidRPr="00835B06" w:rsidRDefault="00835B06" w:rsidP="00835B06">
            <w:pPr>
              <w:spacing w:after="0" w:line="245" w:lineRule="atLeast"/>
              <w:jc w:val="both"/>
              <w:rPr>
                <w:rFonts w:ascii="Roboto Condensed" w:eastAsia="Times New Roman" w:hAnsi="Roboto Condensed" w:cs="Times New Roman"/>
                <w:spacing w:val="2"/>
                <w:szCs w:val="24"/>
                <w:lang w:eastAsia="es-CO"/>
              </w:rPr>
            </w:pPr>
            <w:r w:rsidRPr="00835B06">
              <w:rPr>
                <w:rFonts w:ascii="Roboto Condensed" w:eastAsia="Times New Roman" w:hAnsi="Roboto Condensed" w:cs="Times New Roman"/>
                <w:spacing w:val="2"/>
                <w:szCs w:val="24"/>
                <w:lang w:eastAsia="es-CO"/>
              </w:rPr>
              <w:t>Descriptor</w:t>
            </w:r>
          </w:p>
        </w:tc>
        <w:tc>
          <w:tcPr>
            <w:tcW w:w="3900" w:type="pct"/>
            <w:tcBorders>
              <w:top w:val="nil"/>
              <w:left w:val="nil"/>
              <w:bottom w:val="nil"/>
              <w:right w:val="nil"/>
            </w:tcBorders>
            <w:tcMar>
              <w:top w:w="0" w:type="dxa"/>
              <w:left w:w="0" w:type="dxa"/>
              <w:bottom w:w="0" w:type="dxa"/>
              <w:right w:w="0" w:type="dxa"/>
            </w:tcMar>
            <w:hideMark/>
          </w:tcPr>
          <w:p w14:paraId="50844FC3" w14:textId="77777777" w:rsidR="00835B06" w:rsidRDefault="00835B06" w:rsidP="00835B06">
            <w:pPr>
              <w:spacing w:after="0" w:line="245" w:lineRule="atLeast"/>
              <w:jc w:val="both"/>
              <w:rPr>
                <w:rFonts w:ascii="Roboto Condensed" w:eastAsia="Times New Roman" w:hAnsi="Roboto Condensed" w:cs="Times New Roman"/>
                <w:spacing w:val="2"/>
                <w:szCs w:val="24"/>
                <w:lang w:eastAsia="es-CO"/>
              </w:rPr>
            </w:pPr>
            <w:r w:rsidRPr="00835B06">
              <w:rPr>
                <w:rFonts w:ascii="Roboto Condensed" w:eastAsia="Times New Roman" w:hAnsi="Roboto Condensed" w:cs="Times New Roman"/>
                <w:spacing w:val="2"/>
                <w:szCs w:val="24"/>
                <w:lang w:eastAsia="es-CO"/>
              </w:rPr>
              <w:t>Reanudación de términos suspendidos</w:t>
            </w:r>
          </w:p>
          <w:p w14:paraId="4AC1B0B0" w14:textId="7B24DECD" w:rsidR="00835B06" w:rsidRPr="00835B06" w:rsidRDefault="00835B06" w:rsidP="00835B06">
            <w:pPr>
              <w:spacing w:after="0" w:line="245" w:lineRule="atLeast"/>
              <w:jc w:val="both"/>
              <w:rPr>
                <w:rFonts w:ascii="Roboto Condensed" w:eastAsia="Times New Roman" w:hAnsi="Roboto Condensed" w:cs="Times New Roman"/>
                <w:spacing w:val="2"/>
                <w:szCs w:val="24"/>
                <w:lang w:eastAsia="es-CO"/>
              </w:rPr>
            </w:pPr>
          </w:p>
        </w:tc>
      </w:tr>
      <w:tr w:rsidR="00835B06" w:rsidRPr="00835B06" w14:paraId="00E99CDC" w14:textId="77777777" w:rsidTr="00835B06">
        <w:trPr>
          <w:tblCellSpacing w:w="15" w:type="dxa"/>
        </w:trPr>
        <w:tc>
          <w:tcPr>
            <w:tcW w:w="1100" w:type="pct"/>
            <w:tcBorders>
              <w:top w:val="nil"/>
              <w:left w:val="nil"/>
              <w:bottom w:val="nil"/>
              <w:right w:val="nil"/>
            </w:tcBorders>
            <w:tcMar>
              <w:top w:w="0" w:type="dxa"/>
              <w:left w:w="0" w:type="dxa"/>
              <w:bottom w:w="0" w:type="dxa"/>
              <w:right w:w="0" w:type="dxa"/>
            </w:tcMar>
            <w:hideMark/>
          </w:tcPr>
          <w:p w14:paraId="4F02A503" w14:textId="518DD12B" w:rsidR="00835B06" w:rsidRPr="00835B06" w:rsidRDefault="00835B06" w:rsidP="00835B06">
            <w:pPr>
              <w:spacing w:after="0" w:line="245" w:lineRule="atLeast"/>
              <w:jc w:val="both"/>
              <w:rPr>
                <w:rFonts w:ascii="Roboto Condensed" w:eastAsia="Times New Roman" w:hAnsi="Roboto Condensed" w:cs="Times New Roman"/>
                <w:spacing w:val="2"/>
                <w:szCs w:val="24"/>
                <w:lang w:eastAsia="es-CO"/>
              </w:rPr>
            </w:pPr>
            <w:r w:rsidRPr="00835B06">
              <w:rPr>
                <w:rFonts w:ascii="Roboto Condensed" w:eastAsia="Times New Roman" w:hAnsi="Roboto Condensed" w:cs="Times New Roman"/>
                <w:spacing w:val="2"/>
                <w:szCs w:val="24"/>
                <w:lang w:eastAsia="es-CO"/>
              </w:rPr>
              <w:t>Fuentes formales</w:t>
            </w:r>
          </w:p>
        </w:tc>
        <w:tc>
          <w:tcPr>
            <w:tcW w:w="3900" w:type="pct"/>
            <w:tcBorders>
              <w:top w:val="nil"/>
              <w:left w:val="nil"/>
              <w:bottom w:val="nil"/>
              <w:right w:val="nil"/>
            </w:tcBorders>
            <w:tcMar>
              <w:top w:w="0" w:type="dxa"/>
              <w:left w:w="0" w:type="dxa"/>
              <w:bottom w:w="0" w:type="dxa"/>
              <w:right w:w="0" w:type="dxa"/>
            </w:tcMar>
            <w:hideMark/>
          </w:tcPr>
          <w:p w14:paraId="338142BA" w14:textId="77777777" w:rsidR="00835B06" w:rsidRPr="00835B06" w:rsidRDefault="00835B06" w:rsidP="00835B06">
            <w:pPr>
              <w:spacing w:after="0" w:line="245" w:lineRule="atLeast"/>
              <w:jc w:val="both"/>
              <w:rPr>
                <w:rFonts w:ascii="Roboto Condensed" w:eastAsia="Times New Roman" w:hAnsi="Roboto Condensed" w:cs="Times New Roman"/>
                <w:spacing w:val="2"/>
                <w:szCs w:val="24"/>
                <w:lang w:eastAsia="es-CO"/>
              </w:rPr>
            </w:pPr>
            <w:r w:rsidRPr="00835B06">
              <w:rPr>
                <w:rFonts w:ascii="Roboto Condensed" w:eastAsia="Times New Roman" w:hAnsi="Roboto Condensed" w:cs="Times New Roman"/>
                <w:spacing w:val="2"/>
                <w:szCs w:val="24"/>
                <w:lang w:eastAsia="es-CO"/>
              </w:rPr>
              <w:t>Resolución número </w:t>
            </w:r>
            <w:hyperlink r:id="rId4" w:anchor="INICIO" w:tooltip="Resolución 30 de 2020 DIAN - Por la cual se adoptan medidas de urgencia para garantizar la atención y la prestación de los servicios por parte ..." w:history="1">
              <w:r w:rsidRPr="00835B06">
                <w:rPr>
                  <w:rFonts w:ascii="Roboto Condensed" w:eastAsia="Times New Roman" w:hAnsi="Roboto Condensed" w:cs="Times New Roman"/>
                  <w:color w:val="0000FF"/>
                  <w:spacing w:val="2"/>
                  <w:szCs w:val="24"/>
                  <w:u w:val="single"/>
                  <w:lang w:eastAsia="es-CO"/>
                </w:rPr>
                <w:t>030</w:t>
              </w:r>
            </w:hyperlink>
            <w:r w:rsidRPr="00835B06">
              <w:rPr>
                <w:rFonts w:ascii="Roboto Condensed" w:eastAsia="Times New Roman" w:hAnsi="Roboto Condensed" w:cs="Times New Roman"/>
                <w:spacing w:val="2"/>
                <w:szCs w:val="24"/>
                <w:lang w:eastAsia="es-CO"/>
              </w:rPr>
              <w:t> de 2020 y sus resoluciones modificatorias.</w:t>
            </w:r>
            <w:r w:rsidRPr="00835B06">
              <w:rPr>
                <w:rFonts w:ascii="Roboto Condensed" w:eastAsia="Times New Roman" w:hAnsi="Roboto Condensed" w:cs="Times New Roman"/>
                <w:spacing w:val="2"/>
                <w:szCs w:val="24"/>
                <w:lang w:eastAsia="es-CO"/>
              </w:rPr>
              <w:br/>
              <w:t>Resolución número </w:t>
            </w:r>
            <w:hyperlink r:id="rId5" w:anchor="INICIO" w:tooltip="Resolución 55 de 2020 DIAN - Por la cual se adoptan medidas de urgencia para garantizar la atención y la prestación de los servicios por parte ..." w:history="1">
              <w:r w:rsidRPr="00835B06">
                <w:rPr>
                  <w:rFonts w:ascii="Roboto Condensed" w:eastAsia="Times New Roman" w:hAnsi="Roboto Condensed" w:cs="Times New Roman"/>
                  <w:color w:val="0000FF"/>
                  <w:spacing w:val="2"/>
                  <w:szCs w:val="24"/>
                  <w:u w:val="single"/>
                  <w:lang w:eastAsia="es-CO"/>
                </w:rPr>
                <w:t>055</w:t>
              </w:r>
            </w:hyperlink>
            <w:r w:rsidRPr="00835B06">
              <w:rPr>
                <w:rFonts w:ascii="Roboto Condensed" w:eastAsia="Times New Roman" w:hAnsi="Roboto Condensed" w:cs="Times New Roman"/>
                <w:spacing w:val="2"/>
                <w:szCs w:val="24"/>
                <w:lang w:eastAsia="es-CO"/>
              </w:rPr>
              <w:t> de 2020.</w:t>
            </w:r>
          </w:p>
        </w:tc>
      </w:tr>
    </w:tbl>
    <w:p w14:paraId="1D335BBF" w14:textId="77777777"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De conformidad con el artículo </w:t>
      </w:r>
      <w:hyperlink r:id="rId6" w:anchor="INICIO" w:tooltip="Decreto 4048 de 2008 - (DEROGADO) - Por el cual se modifica la estructura de la Unidad Administrativa Especial Dirección de Impuestos y Aduanas ..." w:history="1">
        <w:r w:rsidRPr="00835B06">
          <w:rPr>
            <w:rFonts w:ascii="Roboto Condensed" w:eastAsia="Times New Roman" w:hAnsi="Roboto Condensed" w:cs="Times New Roman"/>
            <w:color w:val="0000FF"/>
            <w:spacing w:val="2"/>
            <w:sz w:val="27"/>
            <w:szCs w:val="27"/>
            <w:u w:val="single"/>
            <w:lang w:eastAsia="es-CO"/>
          </w:rPr>
          <w:t>20</w:t>
        </w:r>
      </w:hyperlink>
      <w:r w:rsidRPr="00835B06">
        <w:rPr>
          <w:rFonts w:ascii="Roboto Condensed" w:eastAsia="Times New Roman" w:hAnsi="Roboto Condensed" w:cs="Times New Roman"/>
          <w:spacing w:val="2"/>
          <w:sz w:val="27"/>
          <w:szCs w:val="27"/>
          <w:lang w:eastAsia="es-CO"/>
        </w:rPr>
        <w:t> del Decreto número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9137890" w14:textId="77777777" w:rsid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p>
    <w:p w14:paraId="56536E3A" w14:textId="5B9B8A3F"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highlight w:val="cyan"/>
          <w:lang w:eastAsia="es-CO"/>
        </w:rPr>
        <w:t>Mediante el radicado de la referencia, el peticionario consulta: “¿Cómo debe realizarse la contabilización de los días a los que se refiere el parágrafo primero del artículo </w:t>
      </w:r>
      <w:hyperlink r:id="rId7" w:anchor="8" w:tooltip="Resolución 30 de 2020 DIAN - Por la cual se adoptan medidas de urgencia para garantizar la atención y la prestación de los servicios por parte ..., 8" w:history="1">
        <w:r w:rsidRPr="00835B06">
          <w:rPr>
            <w:rFonts w:ascii="Roboto Condensed" w:eastAsia="Times New Roman" w:hAnsi="Roboto Condensed" w:cs="Times New Roman"/>
            <w:color w:val="0000FF"/>
            <w:spacing w:val="2"/>
            <w:sz w:val="27"/>
            <w:szCs w:val="27"/>
            <w:highlight w:val="cyan"/>
            <w:u w:val="single"/>
            <w:lang w:eastAsia="es-CO"/>
          </w:rPr>
          <w:t>8</w:t>
        </w:r>
      </w:hyperlink>
      <w:r w:rsidRPr="00835B06">
        <w:rPr>
          <w:rFonts w:ascii="Roboto Condensed" w:eastAsia="Times New Roman" w:hAnsi="Roboto Condensed" w:cs="Times New Roman"/>
          <w:spacing w:val="2"/>
          <w:sz w:val="27"/>
          <w:szCs w:val="27"/>
          <w:highlight w:val="cyan"/>
          <w:lang w:eastAsia="es-CO"/>
        </w:rPr>
        <w:t> de la resolución 0030 del 29 de marzo de 2020?”.</w:t>
      </w:r>
    </w:p>
    <w:p w14:paraId="0D9597A4" w14:textId="77777777" w:rsid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p>
    <w:p w14:paraId="59B8831E" w14:textId="7B0518CE"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Sobre el particular, las consideraciones de este Despacho son las siguientes:</w:t>
      </w:r>
    </w:p>
    <w:p w14:paraId="168B088B" w14:textId="77777777"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highlight w:val="cyan"/>
          <w:lang w:eastAsia="es-CO"/>
        </w:rPr>
        <w:t>Se deberá tener en cuenta si los términos de las actuaciones administrativas o jurisdiccionales en sede administrativa se contabilizan en (i) días (calendarios o hábiles), (</w:t>
      </w:r>
      <w:proofErr w:type="spellStart"/>
      <w:r w:rsidRPr="00835B06">
        <w:rPr>
          <w:rFonts w:ascii="Roboto Condensed" w:eastAsia="Times New Roman" w:hAnsi="Roboto Condensed" w:cs="Times New Roman"/>
          <w:spacing w:val="2"/>
          <w:sz w:val="27"/>
          <w:szCs w:val="27"/>
          <w:highlight w:val="cyan"/>
          <w:lang w:eastAsia="es-CO"/>
        </w:rPr>
        <w:t>ii</w:t>
      </w:r>
      <w:proofErr w:type="spellEnd"/>
      <w:r w:rsidRPr="00835B06">
        <w:rPr>
          <w:rFonts w:ascii="Roboto Condensed" w:eastAsia="Times New Roman" w:hAnsi="Roboto Condensed" w:cs="Times New Roman"/>
          <w:spacing w:val="2"/>
          <w:sz w:val="27"/>
          <w:szCs w:val="27"/>
          <w:highlight w:val="cyan"/>
          <w:lang w:eastAsia="es-CO"/>
        </w:rPr>
        <w:t>) meses o (</w:t>
      </w:r>
      <w:proofErr w:type="spellStart"/>
      <w:r w:rsidRPr="00835B06">
        <w:rPr>
          <w:rFonts w:ascii="Roboto Condensed" w:eastAsia="Times New Roman" w:hAnsi="Roboto Condensed" w:cs="Times New Roman"/>
          <w:spacing w:val="2"/>
          <w:sz w:val="27"/>
          <w:szCs w:val="27"/>
          <w:highlight w:val="cyan"/>
          <w:lang w:eastAsia="es-CO"/>
        </w:rPr>
        <w:t>iii</w:t>
      </w:r>
      <w:proofErr w:type="spellEnd"/>
      <w:r w:rsidRPr="00835B06">
        <w:rPr>
          <w:rFonts w:ascii="Roboto Condensed" w:eastAsia="Times New Roman" w:hAnsi="Roboto Condensed" w:cs="Times New Roman"/>
          <w:spacing w:val="2"/>
          <w:sz w:val="27"/>
          <w:szCs w:val="27"/>
          <w:highlight w:val="cyan"/>
          <w:lang w:eastAsia="es-CO"/>
        </w:rPr>
        <w:t>) años, y atender a las disposiciones consagradas en el artículo 62 de la Ley 4ª de 1913 sobre el Régimen Político y Municipal.</w:t>
      </w:r>
    </w:p>
    <w:p w14:paraId="6ED36C86" w14:textId="77777777"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lastRenderedPageBreak/>
        <w:t>Nótese que el parágrafo 1° del artículo </w:t>
      </w:r>
      <w:hyperlink r:id="rId8" w:anchor="8" w:tooltip="Resolución 30 de 2020 DIAN - Por la cual se adoptan medidas de urgencia para garantizar la atención y la prestación de los servicios por parte ..., 8" w:history="1">
        <w:r w:rsidRPr="00835B06">
          <w:rPr>
            <w:rFonts w:ascii="Roboto Condensed" w:eastAsia="Times New Roman" w:hAnsi="Roboto Condensed" w:cs="Times New Roman"/>
            <w:color w:val="0000FF"/>
            <w:spacing w:val="2"/>
            <w:sz w:val="27"/>
            <w:szCs w:val="27"/>
            <w:u w:val="single"/>
            <w:lang w:eastAsia="es-CO"/>
          </w:rPr>
          <w:t>8</w:t>
        </w:r>
      </w:hyperlink>
      <w:r w:rsidRPr="00835B06">
        <w:rPr>
          <w:rFonts w:ascii="Roboto Condensed" w:eastAsia="Times New Roman" w:hAnsi="Roboto Condensed" w:cs="Times New Roman"/>
          <w:spacing w:val="2"/>
          <w:sz w:val="27"/>
          <w:szCs w:val="27"/>
          <w:lang w:eastAsia="es-CO"/>
        </w:rPr>
        <w:t>° de la Resolución número 030 de 2020 establece que “los términos suspendidos empezarán a correr nuevamente, </w:t>
      </w:r>
      <w:r w:rsidRPr="00835B06">
        <w:rPr>
          <w:rFonts w:ascii="Roboto Condensed" w:eastAsia="Times New Roman" w:hAnsi="Roboto Condensed" w:cs="Times New Roman"/>
          <w:spacing w:val="2"/>
          <w:sz w:val="27"/>
          <w:szCs w:val="27"/>
          <w:u w:val="single"/>
          <w:lang w:eastAsia="es-CO"/>
        </w:rPr>
        <w:t>teniendo en cuenta los días que al momento de la suspensión hacían falta para cumplir con las obligaciones correspondientes</w:t>
      </w:r>
      <w:r w:rsidRPr="00835B06">
        <w:rPr>
          <w:rFonts w:ascii="Roboto Condensed" w:eastAsia="Times New Roman" w:hAnsi="Roboto Condensed" w:cs="Times New Roman"/>
          <w:spacing w:val="2"/>
          <w:sz w:val="27"/>
          <w:szCs w:val="27"/>
          <w:lang w:eastAsia="es-CO"/>
        </w:rPr>
        <w:t>, incluidos aquellos establecidos en meses o años”.</w:t>
      </w:r>
    </w:p>
    <w:p w14:paraId="4576B4B9" w14:textId="77777777" w:rsid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p>
    <w:p w14:paraId="3FF73B14" w14:textId="3EE72B58"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highlight w:val="cyan"/>
          <w:lang w:eastAsia="es-CO"/>
        </w:rPr>
        <w:t>Si el cumplimiento de la actuación o de la obligación está dada en </w:t>
      </w:r>
      <w:r w:rsidRPr="00835B06">
        <w:rPr>
          <w:rFonts w:ascii="Roboto Condensed" w:eastAsia="Times New Roman" w:hAnsi="Roboto Condensed" w:cs="Times New Roman"/>
          <w:b/>
          <w:bCs/>
          <w:spacing w:val="2"/>
          <w:sz w:val="27"/>
          <w:szCs w:val="27"/>
          <w:highlight w:val="cyan"/>
          <w:lang w:eastAsia="es-CO"/>
        </w:rPr>
        <w:t>días hábiles</w:t>
      </w:r>
      <w:r w:rsidRPr="00835B06">
        <w:rPr>
          <w:rFonts w:ascii="Roboto Condensed" w:eastAsia="Times New Roman" w:hAnsi="Roboto Condensed" w:cs="Times New Roman"/>
          <w:spacing w:val="2"/>
          <w:sz w:val="27"/>
          <w:szCs w:val="27"/>
          <w:highlight w:val="cyan"/>
          <w:lang w:eastAsia="es-CO"/>
        </w:rPr>
        <w:t>, se calcularán </w:t>
      </w:r>
      <w:r w:rsidRPr="00835B06">
        <w:rPr>
          <w:rFonts w:ascii="Roboto Condensed" w:eastAsia="Times New Roman" w:hAnsi="Roboto Condensed" w:cs="Times New Roman"/>
          <w:b/>
          <w:bCs/>
          <w:spacing w:val="2"/>
          <w:sz w:val="27"/>
          <w:szCs w:val="27"/>
          <w:highlight w:val="cyan"/>
          <w:lang w:eastAsia="es-CO"/>
        </w:rPr>
        <w:t>cuantos días hábiles </w:t>
      </w:r>
      <w:r w:rsidRPr="00835B06">
        <w:rPr>
          <w:rFonts w:ascii="Roboto Condensed" w:eastAsia="Times New Roman" w:hAnsi="Roboto Condensed" w:cs="Times New Roman"/>
          <w:spacing w:val="2"/>
          <w:sz w:val="27"/>
          <w:szCs w:val="27"/>
          <w:highlight w:val="cyan"/>
          <w:lang w:eastAsia="es-CO"/>
        </w:rPr>
        <w:t>hacen falta para que se cumpla el término o el plazo.</w:t>
      </w:r>
    </w:p>
    <w:p w14:paraId="75CCAF03" w14:textId="77777777" w:rsid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p>
    <w:p w14:paraId="0AA24569" w14:textId="75FFEA4E"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highlight w:val="cyan"/>
          <w:lang w:eastAsia="es-CO"/>
        </w:rPr>
        <w:t>Así las cosas, bajo el escenario que falten días para culminar el término, estos se deberán contabilizar en días hábiles, en virtud del artículo 62 de la Ley 4ª de 1913 sobre el Régimen Político y Municipal.</w:t>
      </w:r>
    </w:p>
    <w:p w14:paraId="0E4D8A24" w14:textId="77777777"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highlight w:val="cyan"/>
          <w:lang w:eastAsia="es-CO"/>
        </w:rPr>
        <w:t>Si el cumplimiento de la actuación o de la obligación está dada en </w:t>
      </w:r>
      <w:r w:rsidRPr="00835B06">
        <w:rPr>
          <w:rFonts w:ascii="Roboto Condensed" w:eastAsia="Times New Roman" w:hAnsi="Roboto Condensed" w:cs="Times New Roman"/>
          <w:b/>
          <w:bCs/>
          <w:spacing w:val="2"/>
          <w:sz w:val="27"/>
          <w:szCs w:val="27"/>
          <w:highlight w:val="cyan"/>
          <w:lang w:eastAsia="es-CO"/>
        </w:rPr>
        <w:t>días calendario, meses o años</w:t>
      </w:r>
      <w:r w:rsidRPr="00835B06">
        <w:rPr>
          <w:rFonts w:ascii="Roboto Condensed" w:eastAsia="Times New Roman" w:hAnsi="Roboto Condensed" w:cs="Times New Roman"/>
          <w:spacing w:val="2"/>
          <w:sz w:val="27"/>
          <w:szCs w:val="27"/>
          <w:highlight w:val="cyan"/>
          <w:lang w:eastAsia="es-CO"/>
        </w:rPr>
        <w:t>, se calcularán </w:t>
      </w:r>
      <w:r w:rsidRPr="00835B06">
        <w:rPr>
          <w:rFonts w:ascii="Roboto Condensed" w:eastAsia="Times New Roman" w:hAnsi="Roboto Condensed" w:cs="Times New Roman"/>
          <w:b/>
          <w:bCs/>
          <w:spacing w:val="2"/>
          <w:sz w:val="27"/>
          <w:szCs w:val="27"/>
          <w:highlight w:val="cyan"/>
          <w:lang w:eastAsia="es-CO"/>
        </w:rPr>
        <w:t>cuantos días calendario </w:t>
      </w:r>
      <w:r w:rsidRPr="00835B06">
        <w:rPr>
          <w:rFonts w:ascii="Roboto Condensed" w:eastAsia="Times New Roman" w:hAnsi="Roboto Condensed" w:cs="Times New Roman"/>
          <w:spacing w:val="2"/>
          <w:sz w:val="27"/>
          <w:szCs w:val="27"/>
          <w:highlight w:val="cyan"/>
          <w:lang w:eastAsia="es-CO"/>
        </w:rPr>
        <w:t>hacen falta para que se cumpla el término o el plazo.</w:t>
      </w:r>
    </w:p>
    <w:p w14:paraId="1B652C71" w14:textId="77777777" w:rsid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p>
    <w:p w14:paraId="4FB93502" w14:textId="48630FE2"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highlight w:val="cyan"/>
          <w:lang w:eastAsia="es-CO"/>
        </w:rPr>
        <w:t>A partir del día en que se levante la suspensión de los términos, estos se reanudarán </w:t>
      </w:r>
      <w:r w:rsidRPr="00835B06">
        <w:rPr>
          <w:rFonts w:ascii="Roboto Condensed" w:eastAsia="Times New Roman" w:hAnsi="Roboto Condensed" w:cs="Times New Roman"/>
          <w:b/>
          <w:bCs/>
          <w:spacing w:val="2"/>
          <w:sz w:val="27"/>
          <w:szCs w:val="27"/>
          <w:highlight w:val="cyan"/>
          <w:lang w:eastAsia="es-CO"/>
        </w:rPr>
        <w:t>por el equivalente a la cantidad de días hábiles o días calendario</w:t>
      </w:r>
      <w:r w:rsidRPr="00835B06">
        <w:rPr>
          <w:rFonts w:ascii="Roboto Condensed" w:eastAsia="Times New Roman" w:hAnsi="Roboto Condensed" w:cs="Times New Roman"/>
          <w:spacing w:val="2"/>
          <w:sz w:val="27"/>
          <w:szCs w:val="27"/>
          <w:highlight w:val="cyan"/>
          <w:lang w:eastAsia="es-CO"/>
        </w:rPr>
        <w:t>, según el caso, que le quedaban para cumplir la actuación o la obligación. No obstante, para todos los efectos se tendrá en cuenta lo establecido en el artículo 62 del Código de Régimen Político y Municipal.</w:t>
      </w:r>
    </w:p>
    <w:p w14:paraId="654676E8" w14:textId="77777777" w:rsid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p>
    <w:p w14:paraId="0F3374D5" w14:textId="1366AEA4"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Para finalizar se precisa que la Resolución número 055 de 2020, en su artículo </w:t>
      </w:r>
      <w:hyperlink r:id="rId9" w:anchor="1" w:tooltip="Resolución 55 de 2020 DIAN - Por la cual se adoptan medidas de urgencia para garantizar la atención y la prestación de los servicios por parte ..., 1" w:history="1">
        <w:r w:rsidRPr="00835B06">
          <w:rPr>
            <w:rFonts w:ascii="Roboto Condensed" w:eastAsia="Times New Roman" w:hAnsi="Roboto Condensed" w:cs="Times New Roman"/>
            <w:color w:val="0000FF"/>
            <w:spacing w:val="2"/>
            <w:sz w:val="27"/>
            <w:szCs w:val="27"/>
            <w:u w:val="single"/>
            <w:lang w:eastAsia="es-CO"/>
          </w:rPr>
          <w:t>1</w:t>
        </w:r>
      </w:hyperlink>
      <w:r w:rsidRPr="00835B06">
        <w:rPr>
          <w:rFonts w:ascii="Roboto Condensed" w:eastAsia="Times New Roman" w:hAnsi="Roboto Condensed" w:cs="Times New Roman"/>
          <w:spacing w:val="2"/>
          <w:sz w:val="27"/>
          <w:szCs w:val="27"/>
          <w:lang w:eastAsia="es-CO"/>
        </w:rPr>
        <w:t>°, dispuso el levantamiento de la suspensión de términos en la DIAN a partir del 2 de junio del 2020, así:</w:t>
      </w:r>
    </w:p>
    <w:p w14:paraId="256427D5" w14:textId="77777777" w:rsid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p>
    <w:p w14:paraId="4415C075" w14:textId="5B4C9E5C" w:rsidR="00835B06" w:rsidRPr="00835B06" w:rsidRDefault="00835B06" w:rsidP="00835B06">
      <w:pPr>
        <w:spacing w:after="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“Sin perjuicio de lo dispuesto en el artículo </w:t>
      </w:r>
      <w:hyperlink r:id="rId10" w:anchor="2" w:tooltip="Resolución 55 de 2020 DIAN - Por la cual se adoptan medidas de urgencia para garantizar la atención y la prestación de los servicios por parte ..., 2" w:history="1">
        <w:r w:rsidRPr="00835B06">
          <w:rPr>
            <w:rFonts w:ascii="Roboto Condensed" w:eastAsia="Times New Roman" w:hAnsi="Roboto Condensed" w:cs="Times New Roman"/>
            <w:color w:val="0000FF"/>
            <w:spacing w:val="2"/>
            <w:sz w:val="27"/>
            <w:szCs w:val="27"/>
            <w:u w:val="single"/>
            <w:lang w:eastAsia="es-CO"/>
          </w:rPr>
          <w:t>2</w:t>
        </w:r>
      </w:hyperlink>
      <w:r w:rsidRPr="00835B06">
        <w:rPr>
          <w:rFonts w:ascii="Roboto Condensed" w:eastAsia="Times New Roman" w:hAnsi="Roboto Condensed" w:cs="Times New Roman"/>
          <w:spacing w:val="2"/>
          <w:sz w:val="27"/>
          <w:szCs w:val="27"/>
          <w:lang w:eastAsia="es-CO"/>
        </w:rPr>
        <w:t>º de la presente resolución, levantar a partir del dos (2) de junio de 2020 la suspensión de los términos de las actuaciones administrativas o jurisdiccionales en sede administrativa de que trata el artículo </w:t>
      </w:r>
      <w:hyperlink r:id="rId11" w:anchor="8" w:tooltip="Resolución 30 de 2020 DIAN - Por la cual se adoptan medidas de urgencia para garantizar la atención y la prestación de los servicios por parte ..., 8" w:history="1">
        <w:r w:rsidRPr="00835B06">
          <w:rPr>
            <w:rFonts w:ascii="Roboto Condensed" w:eastAsia="Times New Roman" w:hAnsi="Roboto Condensed" w:cs="Times New Roman"/>
            <w:color w:val="0000FF"/>
            <w:spacing w:val="2"/>
            <w:sz w:val="27"/>
            <w:szCs w:val="27"/>
            <w:u w:val="single"/>
            <w:lang w:eastAsia="es-CO"/>
          </w:rPr>
          <w:t>8</w:t>
        </w:r>
      </w:hyperlink>
      <w:r w:rsidRPr="00835B06">
        <w:rPr>
          <w:rFonts w:ascii="Roboto Condensed" w:eastAsia="Times New Roman" w:hAnsi="Roboto Condensed" w:cs="Times New Roman"/>
          <w:spacing w:val="2"/>
          <w:sz w:val="27"/>
          <w:szCs w:val="27"/>
          <w:lang w:eastAsia="es-CO"/>
        </w:rPr>
        <w:t>º de la resolución 000030 del 29 de marzo de 2020, y sus modificaciones”.</w:t>
      </w:r>
    </w:p>
    <w:p w14:paraId="046C0CE0" w14:textId="77777777" w:rsid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p>
    <w:p w14:paraId="1185215F" w14:textId="0E58EC40"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 xml:space="preserve">En los anteriores términos se resuelve su solicitud y finalmente le manifestamos que la Dirección de Impuestos y Aduanas Nacionales-DIAN-, con el fin de facilitar a los </w:t>
      </w:r>
      <w:r w:rsidRPr="00835B06">
        <w:rPr>
          <w:rFonts w:ascii="Roboto Condensed" w:eastAsia="Times New Roman" w:hAnsi="Roboto Condensed" w:cs="Times New Roman"/>
          <w:spacing w:val="2"/>
          <w:sz w:val="27"/>
          <w:szCs w:val="27"/>
          <w:lang w:eastAsia="es-CO"/>
        </w:rPr>
        <w:lastRenderedPageBreak/>
        <w:t xml:space="preserve">contribuyentes, usuarios y público en general el acceso directo a sus pronunciamientos doctrinarios, ha publicado en su página de internet www.dian.gov.co, la base de conceptos en materia tributaria, aduanera y cambiaria expedidos desde el año 2001, la cual se puede ingresar por el ícono de “Normatividad” </w:t>
      </w:r>
      <w:proofErr w:type="gramStart"/>
      <w:r w:rsidRPr="00835B06">
        <w:rPr>
          <w:rFonts w:ascii="Roboto Condensed" w:eastAsia="Times New Roman" w:hAnsi="Roboto Condensed" w:cs="Times New Roman"/>
          <w:spacing w:val="2"/>
          <w:sz w:val="27"/>
          <w:szCs w:val="27"/>
          <w:lang w:eastAsia="es-CO"/>
        </w:rPr>
        <w:t>–”técnica</w:t>
      </w:r>
      <w:proofErr w:type="gramEnd"/>
      <w:r w:rsidRPr="00835B06">
        <w:rPr>
          <w:rFonts w:ascii="Roboto Condensed" w:eastAsia="Times New Roman" w:hAnsi="Roboto Condensed" w:cs="Times New Roman"/>
          <w:spacing w:val="2"/>
          <w:sz w:val="27"/>
          <w:szCs w:val="27"/>
          <w:lang w:eastAsia="es-CO"/>
        </w:rPr>
        <w:t xml:space="preserve">”–, dando </w:t>
      </w:r>
      <w:proofErr w:type="spellStart"/>
      <w:r w:rsidRPr="00835B06">
        <w:rPr>
          <w:rFonts w:ascii="Roboto Condensed" w:eastAsia="Times New Roman" w:hAnsi="Roboto Condensed" w:cs="Times New Roman"/>
          <w:spacing w:val="2"/>
          <w:sz w:val="27"/>
          <w:szCs w:val="27"/>
          <w:lang w:eastAsia="es-CO"/>
        </w:rPr>
        <w:t>click</w:t>
      </w:r>
      <w:proofErr w:type="spellEnd"/>
      <w:r w:rsidRPr="00835B06">
        <w:rPr>
          <w:rFonts w:ascii="Roboto Condensed" w:eastAsia="Times New Roman" w:hAnsi="Roboto Condensed" w:cs="Times New Roman"/>
          <w:spacing w:val="2"/>
          <w:sz w:val="27"/>
          <w:szCs w:val="27"/>
          <w:lang w:eastAsia="es-CO"/>
        </w:rPr>
        <w:t xml:space="preserve"> en el link “Doctrina Dirección de Gestión Jurídica”.</w:t>
      </w:r>
    </w:p>
    <w:p w14:paraId="3B5DFD53" w14:textId="77777777" w:rsidR="00835B06" w:rsidRPr="00835B06" w:rsidRDefault="00835B06" w:rsidP="00835B06">
      <w:pPr>
        <w:spacing w:after="240" w:line="480" w:lineRule="atLeast"/>
        <w:jc w:val="both"/>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Atentamente,</w:t>
      </w:r>
    </w:p>
    <w:p w14:paraId="1FCC1B64"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 xml:space="preserve">El </w:t>
      </w:r>
      <w:proofErr w:type="gramStart"/>
      <w:r w:rsidRPr="00835B06">
        <w:rPr>
          <w:rFonts w:ascii="Roboto Condensed" w:eastAsia="Times New Roman" w:hAnsi="Roboto Condensed" w:cs="Times New Roman"/>
          <w:spacing w:val="2"/>
          <w:sz w:val="27"/>
          <w:szCs w:val="27"/>
          <w:lang w:eastAsia="es-CO"/>
        </w:rPr>
        <w:t>Subdirector</w:t>
      </w:r>
      <w:proofErr w:type="gramEnd"/>
      <w:r w:rsidRPr="00835B06">
        <w:rPr>
          <w:rFonts w:ascii="Roboto Condensed" w:eastAsia="Times New Roman" w:hAnsi="Roboto Condensed" w:cs="Times New Roman"/>
          <w:spacing w:val="2"/>
          <w:sz w:val="27"/>
          <w:szCs w:val="27"/>
          <w:lang w:eastAsia="es-CO"/>
        </w:rPr>
        <w:t xml:space="preserve"> de Gestión Normativa y Doctrina,</w:t>
      </w:r>
    </w:p>
    <w:p w14:paraId="744394AE" w14:textId="77777777" w:rsidR="00835B06" w:rsidRPr="00835B06" w:rsidRDefault="00835B06" w:rsidP="00835B06">
      <w:pPr>
        <w:spacing w:after="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b/>
          <w:bCs/>
          <w:spacing w:val="2"/>
          <w:sz w:val="27"/>
          <w:szCs w:val="27"/>
          <w:lang w:eastAsia="es-CO"/>
        </w:rPr>
        <w:t>Pablo Emilio Mendoza Velilla,</w:t>
      </w:r>
    </w:p>
    <w:p w14:paraId="5FABD0BE"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Dirección de Gestión Jurídica.</w:t>
      </w:r>
    </w:p>
    <w:p w14:paraId="5D73FAD7"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UAE-DIAN</w:t>
      </w:r>
    </w:p>
    <w:p w14:paraId="456AE093"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 xml:space="preserve">Car. 8 </w:t>
      </w:r>
      <w:proofErr w:type="spellStart"/>
      <w:r w:rsidRPr="00835B06">
        <w:rPr>
          <w:rFonts w:ascii="Roboto Condensed" w:eastAsia="Times New Roman" w:hAnsi="Roboto Condensed" w:cs="Times New Roman"/>
          <w:spacing w:val="2"/>
          <w:sz w:val="27"/>
          <w:szCs w:val="27"/>
          <w:lang w:eastAsia="es-CO"/>
        </w:rPr>
        <w:t>N°</w:t>
      </w:r>
      <w:proofErr w:type="spellEnd"/>
      <w:r w:rsidRPr="00835B06">
        <w:rPr>
          <w:rFonts w:ascii="Roboto Condensed" w:eastAsia="Times New Roman" w:hAnsi="Roboto Condensed" w:cs="Times New Roman"/>
          <w:spacing w:val="2"/>
          <w:sz w:val="27"/>
          <w:szCs w:val="27"/>
          <w:lang w:eastAsia="es-CO"/>
        </w:rPr>
        <w:t xml:space="preserve"> 6C-38, piso 4, Edificio San Agustín</w:t>
      </w:r>
    </w:p>
    <w:p w14:paraId="30363268" w14:textId="77777777" w:rsidR="00835B06" w:rsidRPr="00835B06" w:rsidRDefault="00835B06" w:rsidP="00835B06">
      <w:pPr>
        <w:spacing w:after="240" w:line="480" w:lineRule="atLeast"/>
        <w:jc w:val="center"/>
        <w:rPr>
          <w:rFonts w:ascii="Roboto Condensed" w:eastAsia="Times New Roman" w:hAnsi="Roboto Condensed" w:cs="Times New Roman"/>
          <w:spacing w:val="2"/>
          <w:sz w:val="27"/>
          <w:szCs w:val="27"/>
          <w:lang w:eastAsia="es-CO"/>
        </w:rPr>
      </w:pPr>
      <w:r w:rsidRPr="00835B06">
        <w:rPr>
          <w:rFonts w:ascii="Roboto Condensed" w:eastAsia="Times New Roman" w:hAnsi="Roboto Condensed" w:cs="Times New Roman"/>
          <w:spacing w:val="2"/>
          <w:sz w:val="27"/>
          <w:szCs w:val="27"/>
          <w:lang w:eastAsia="es-CO"/>
        </w:rPr>
        <w:t>Bogotá, D. C.</w:t>
      </w:r>
    </w:p>
    <w:p w14:paraId="49DB9ABB"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06"/>
    <w:rsid w:val="000F3837"/>
    <w:rsid w:val="001E311E"/>
    <w:rsid w:val="00434AE6"/>
    <w:rsid w:val="007F5CC8"/>
    <w:rsid w:val="00835B06"/>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453F"/>
  <w15:chartTrackingRefBased/>
  <w15:docId w15:val="{EB59617D-24DC-48AE-9CBA-16371586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3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dian.gov.co/dian/compilacion/docs/resolucion_dian_0030_202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ograma.dian.gov.co/dian/compilacion/docs/resolucion_dian_0030_202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ograma.dian.gov.co/dian/compilacion/docs/decreto_4048_2008.htm" TargetMode="External"/><Relationship Id="rId11" Type="http://schemas.openxmlformats.org/officeDocument/2006/relationships/hyperlink" Target="https://normograma.dian.gov.co/dian/compilacion/docs/resolucion_dian_0030_2020.htm" TargetMode="External"/><Relationship Id="rId5" Type="http://schemas.openxmlformats.org/officeDocument/2006/relationships/hyperlink" Target="https://normograma.dian.gov.co/dian/compilacion/docs/resolucion_dian_0055_2020.htm" TargetMode="External"/><Relationship Id="rId10" Type="http://schemas.openxmlformats.org/officeDocument/2006/relationships/hyperlink" Target="https://normograma.dian.gov.co/dian/compilacion/docs/resolucion_dian_0055_2020.htm" TargetMode="External"/><Relationship Id="rId4" Type="http://schemas.openxmlformats.org/officeDocument/2006/relationships/hyperlink" Target="https://normograma.dian.gov.co/dian/compilacion/docs/resolucion_dian_0030_2020.htm" TargetMode="External"/><Relationship Id="rId9" Type="http://schemas.openxmlformats.org/officeDocument/2006/relationships/hyperlink" Target="https://normograma.dian.gov.co/dian/compilacion/docs/resolucion_dian_0055_20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5267</Characters>
  <Application>Microsoft Office Word</Application>
  <DocSecurity>0</DocSecurity>
  <Lines>43</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2022-10-19T20:36:00Z</dcterms:created>
  <dcterms:modified xsi:type="dcterms:W3CDTF">2022-10-19T20:38:00Z</dcterms:modified>
</cp:coreProperties>
</file>